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3FFE" w14:textId="3EBF2A11" w:rsidR="00593275" w:rsidRPr="00593275" w:rsidRDefault="00593275" w:rsidP="00593275">
      <w:pPr>
        <w:spacing w:after="160" w:line="278" w:lineRule="auto"/>
        <w:jc w:val="center"/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</w:pPr>
      <w:r w:rsidRPr="00593275"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  <w:t>„</w:t>
      </w:r>
      <w:r w:rsidR="00261BE8" w:rsidRPr="00261BE8">
        <w:rPr>
          <w:rFonts w:ascii="Calibri" w:eastAsiaTheme="minorHAnsi" w:hAnsi="Calibri" w:cs="Calibri"/>
          <w:b/>
          <w:i/>
          <w:kern w:val="2"/>
          <w:lang w:val="hu-HU" w:eastAsia="en-US"/>
          <w14:ligatures w14:val="standardContextual"/>
        </w:rPr>
        <w:t>Energiamenedzsment- és elszámoló-rendszer Erzsébetváros energiaközössége számára</w:t>
      </w:r>
      <w:r w:rsidRPr="00593275"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  <w:t>”</w:t>
      </w:r>
    </w:p>
    <w:p w14:paraId="019FA40E" w14:textId="77777777" w:rsidR="00593275" w:rsidRPr="00593275" w:rsidRDefault="00593275" w:rsidP="00593275">
      <w:pPr>
        <w:spacing w:after="160" w:line="278" w:lineRule="auto"/>
        <w:jc w:val="center"/>
        <w:rPr>
          <w:rFonts w:ascii="Calibri" w:eastAsiaTheme="minorHAnsi" w:hAnsi="Calibri" w:cs="Calibri"/>
          <w:bCs/>
          <w:kern w:val="2"/>
          <w:lang w:val="hu-HU" w:eastAsia="en-US"/>
          <w14:ligatures w14:val="standardContextual"/>
        </w:rPr>
      </w:pPr>
      <w:r w:rsidRPr="00593275">
        <w:rPr>
          <w:rFonts w:ascii="Calibri" w:eastAsiaTheme="minorHAnsi" w:hAnsi="Calibri" w:cs="Calibri"/>
          <w:bCs/>
          <w:kern w:val="2"/>
          <w:lang w:val="hu-HU" w:eastAsia="en-US"/>
          <w14:ligatures w14:val="standardContextual"/>
        </w:rPr>
        <w:t>tárgyú,</w:t>
      </w:r>
    </w:p>
    <w:p w14:paraId="64656A13" w14:textId="77777777" w:rsidR="00593275" w:rsidRPr="00593275" w:rsidRDefault="00593275" w:rsidP="00593275">
      <w:pPr>
        <w:spacing w:after="160" w:line="278" w:lineRule="auto"/>
        <w:jc w:val="center"/>
        <w:rPr>
          <w:rFonts w:ascii="Calibri" w:eastAsiaTheme="minorHAnsi" w:hAnsi="Calibri" w:cs="Calibri"/>
          <w:bCs/>
          <w:kern w:val="2"/>
          <w:lang w:val="hu-HU" w:eastAsia="en-US"/>
          <w14:ligatures w14:val="standardContextual"/>
        </w:rPr>
      </w:pPr>
      <w:r w:rsidRPr="00593275">
        <w:rPr>
          <w:rFonts w:ascii="Calibri" w:eastAsiaTheme="minorHAnsi" w:hAnsi="Calibri" w:cs="Calibri"/>
          <w:bCs/>
          <w:kern w:val="2"/>
          <w:lang w:val="hu-HU" w:eastAsia="en-US"/>
          <w14:ligatures w14:val="standardContextual"/>
        </w:rPr>
        <w:t>a közbeszerzésekről szóló 2015. évi CXLIII. törvény (Kbt.) 112. § (1) bekezdés b) pont szerinti tárgyalásos közbeszerzési eljárás</w:t>
      </w:r>
    </w:p>
    <w:p w14:paraId="21A35590" w14:textId="77777777" w:rsidR="00593275" w:rsidRPr="00593275" w:rsidRDefault="00593275" w:rsidP="00593275">
      <w:pPr>
        <w:spacing w:after="160" w:line="278" w:lineRule="auto"/>
        <w:jc w:val="center"/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</w:pPr>
      <w:r w:rsidRPr="00593275"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  <w:t>AJÁNLATTÉTELI DOKUMENTÁCIÓ III. KÖTET</w:t>
      </w:r>
    </w:p>
    <w:p w14:paraId="12164185" w14:textId="77777777" w:rsidR="00593275" w:rsidRPr="00593275" w:rsidRDefault="00593275" w:rsidP="00593275">
      <w:pPr>
        <w:spacing w:after="160" w:line="278" w:lineRule="auto"/>
        <w:jc w:val="center"/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</w:pPr>
      <w:r w:rsidRPr="00593275">
        <w:rPr>
          <w:rFonts w:ascii="Calibri" w:eastAsiaTheme="minorHAnsi" w:hAnsi="Calibri" w:cs="Calibri"/>
          <w:b/>
          <w:kern w:val="2"/>
          <w:lang w:val="hu-HU" w:eastAsia="en-US"/>
          <w14:ligatures w14:val="standardContextual"/>
        </w:rPr>
        <w:t>MŰSZAKI LEÍRÁS</w:t>
      </w:r>
    </w:p>
    <w:p w14:paraId="5B662F05" w14:textId="26A57761" w:rsidR="00593275" w:rsidRPr="00593275" w:rsidRDefault="00593275" w:rsidP="00593275">
      <w:pPr>
        <w:pStyle w:val="Listaszerbekezds"/>
        <w:numPr>
          <w:ilvl w:val="0"/>
          <w:numId w:val="1"/>
        </w:numPr>
        <w:jc w:val="center"/>
        <w:rPr>
          <w:rFonts w:ascii="Calibri" w:hAnsi="Calibri" w:cs="Calibri"/>
          <w:bCs/>
          <w:sz w:val="22"/>
          <w:szCs w:val="22"/>
        </w:rPr>
      </w:pPr>
      <w:r w:rsidRPr="00593275">
        <w:rPr>
          <w:rFonts w:ascii="Calibri" w:hAnsi="Calibri" w:cs="Calibri"/>
          <w:bCs/>
          <w:sz w:val="22"/>
          <w:szCs w:val="22"/>
        </w:rPr>
        <w:t>sz. melléklet</w:t>
      </w:r>
    </w:p>
    <w:p w14:paraId="4BCAD209" w14:textId="77777777" w:rsidR="00593275" w:rsidRPr="00593275" w:rsidRDefault="00593275" w:rsidP="00593275">
      <w:pPr>
        <w:spacing w:after="60" w:line="264" w:lineRule="auto"/>
        <w:ind w:left="720" w:hanging="360"/>
        <w:jc w:val="both"/>
      </w:pPr>
    </w:p>
    <w:p w14:paraId="2EFA46DC" w14:textId="60A47729" w:rsidR="00593275" w:rsidRPr="00593275" w:rsidRDefault="00593275" w:rsidP="00593275">
      <w:pPr>
        <w:spacing w:after="60" w:line="264" w:lineRule="auto"/>
        <w:ind w:left="360"/>
        <w:jc w:val="center"/>
        <w:rPr>
          <w:rFonts w:ascii="Calibri" w:hAnsi="Calibri" w:cs="Calibri"/>
          <w:b/>
          <w:caps/>
        </w:rPr>
      </w:pPr>
      <w:r w:rsidRPr="00593275">
        <w:rPr>
          <w:rFonts w:ascii="Calibri" w:hAnsi="Calibri" w:cs="Calibri"/>
          <w:b/>
          <w:caps/>
        </w:rPr>
        <w:t>szabályozók jegyzéke</w:t>
      </w:r>
    </w:p>
    <w:p w14:paraId="527D228A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  <w:b/>
        </w:rPr>
      </w:pPr>
    </w:p>
    <w:p w14:paraId="25A2DFF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- 2018/2001/EU Irányelv (REDII) a Megújuló Energia Közösségről</w:t>
      </w:r>
    </w:p>
    <w:p w14:paraId="7476429E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A villamos energiáról szóló 2007. évi LXXXVI. törvény a VET</w:t>
      </w:r>
    </w:p>
    <w:p w14:paraId="77E6A354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A Kormány 721/2020. (XII. 31.) Korm. rendelete egyes villamosenergetikai tárgyú kormányrendeletek módosításáról</w:t>
      </w:r>
    </w:p>
    <w:p w14:paraId="6614B82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Magyar Közlöny 130. számában a 281/2022. rendelettel egészítette ki a veszélyhelyzet ideje alatt az egyetemes szolgáltatásra jogosultak körének meghatározásáról szóló 217/2022. kormányrendeletrendelkezéseiben foglaltakat</w:t>
      </w:r>
    </w:p>
    <w:p w14:paraId="43E902D6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</w:t>
      </w:r>
      <w:proofErr w:type="spellStart"/>
      <w:r w:rsidRPr="00593275">
        <w:rPr>
          <w:rFonts w:ascii="Calibri" w:hAnsi="Calibri" w:cs="Calibri"/>
        </w:rPr>
        <w:t>Vhr</w:t>
      </w:r>
      <w:proofErr w:type="spellEnd"/>
      <w:r w:rsidRPr="00593275">
        <w:rPr>
          <w:rFonts w:ascii="Calibri" w:hAnsi="Calibri" w:cs="Calibri"/>
        </w:rPr>
        <w:t xml:space="preserve"> – a villamos energiáról szóló 2007. évi LXXXVI. törvény egyes rendelkezéseinek végrehajtásáról szóló 273/2007. (X. 19.) Korm. Rendelet</w:t>
      </w:r>
    </w:p>
    <w:p w14:paraId="5D1EA9B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3. § 15. Erőmű névleges teljesítőképesség: a beépített villamosenergia-termelő egységek generátorkapcson, tervezési körülmények között mért névleges aktív (wattos) teljesítményeinek összege.</w:t>
      </w:r>
    </w:p>
    <w:p w14:paraId="7C612FAF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VET 3. § 24. Háztartási méretű kis erőmű: olyan, a kisfeszültségű hálózatra csatlakozó kis erőmű, melynek csatlakozási teljesítménye egy csatlakozási ponton nem haladja meg az 50 </w:t>
      </w:r>
      <w:proofErr w:type="spellStart"/>
      <w:r w:rsidRPr="00593275">
        <w:rPr>
          <w:rFonts w:ascii="Calibri" w:hAnsi="Calibri" w:cs="Calibri"/>
        </w:rPr>
        <w:t>kVA</w:t>
      </w:r>
      <w:proofErr w:type="spellEnd"/>
      <w:r w:rsidRPr="00593275">
        <w:rPr>
          <w:rFonts w:ascii="Calibri" w:hAnsi="Calibri" w:cs="Calibri"/>
        </w:rPr>
        <w:t>-t.</w:t>
      </w:r>
    </w:p>
    <w:p w14:paraId="376F4FD9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7. § (1) Saját üzleti kockázatára – a (2) bekezdésben foglalt eltéréssel – bárki létesíthet új termelő kapacitást a jelen törvényben és a külön jogszabályokban meghatározottak szerint.</w:t>
      </w:r>
    </w:p>
    <w:p w14:paraId="44571AAA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13. § (2) A háztartási méretű kis erőművek üzemeltetői által termelt villamos energiát az adott csatlakozási ponton értékesítő villamosenergia-kereskedő külön jogszabály szerint köteles átvenni.</w:t>
      </w:r>
    </w:p>
    <w:p w14:paraId="5CA6B5A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35. § (5) Háztartási méretű kiserőmű felhasználási helyenként csak egy csatlakozási pontra létesíthető.</w:t>
      </w:r>
    </w:p>
    <w:p w14:paraId="02930BCE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41. § (3) Az elosztó hálózati engedélyes köteles a külön jogszabály és az elosztói szabályzat alapján a háztartási méretű kiserőművek méréséről gondoskodni.</w:t>
      </w:r>
    </w:p>
    <w:p w14:paraId="5E388C4A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4. § A háztartási méretű kiserőmű üzemeltetője által termelt villamos energiát az üzemeltető kérésére az adott csatlakozási ponton értékesítő villamosenergia-kereskedő vagy egyetemes szolgáltató köteles átvenni.</w:t>
      </w:r>
    </w:p>
    <w:p w14:paraId="3A6AE467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Vhr. 5. § (1) A háztartási méretű kiserőmű rendelkezésre állási teljesítménye alatt a </w:t>
      </w:r>
      <w:proofErr w:type="spellStart"/>
      <w:r w:rsidRPr="00593275">
        <w:rPr>
          <w:rFonts w:ascii="Calibri" w:hAnsi="Calibri" w:cs="Calibri"/>
        </w:rPr>
        <w:t>kVA</w:t>
      </w:r>
      <w:proofErr w:type="spellEnd"/>
      <w:r w:rsidRPr="00593275">
        <w:rPr>
          <w:rFonts w:ascii="Calibri" w:hAnsi="Calibri" w:cs="Calibri"/>
        </w:rPr>
        <w:t xml:space="preserve"> mértékegységben kifejezett erőművi teljesítőképességet kell érteni.</w:t>
      </w:r>
    </w:p>
    <w:p w14:paraId="31C91504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Vhr. 5. § (2) Egy adott csatlakozási ponton háztartási méretű kis erőművet létesíteni, illetve üzemeltetni a felhasználóként ugyanazon csatlakozási ponton rendelkezésre álló teljesítmény határáig a csatlakozási szerződés módosítása nélkül, a rendelkezésre álló teljesítményt meghaladó, de </w:t>
      </w:r>
      <w:r w:rsidRPr="00593275">
        <w:rPr>
          <w:rFonts w:ascii="Calibri" w:hAnsi="Calibri" w:cs="Calibri"/>
        </w:rPr>
        <w:lastRenderedPageBreak/>
        <w:t>legfeljebb a VET 3. § 24. pontjában meghatározott teljesítményig a csatlakozási szerződés megfelelő módosítása mellett, a hálózathoz való csatlakozásra vonatkozó külön jogszabály, továbbá az elosztói szabályzatban, es az elosztó üzletszabályzatában meghatározott részletes szabályok szerint lehet.</w:t>
      </w:r>
    </w:p>
    <w:p w14:paraId="0A380CE1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(3) A felhasználó a háztartási kiserőmű üzembe helyezésére vonatkozó szándékáról a háztartási méretű kiserőmű alapvető műszaki adatait tartalmazó írásbeli vagy elektronikus igénybejelentésben tájékoztatja a vele jogviszonyban álló elosztót.</w:t>
      </w:r>
    </w:p>
    <w:p w14:paraId="2352BFB9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(4) A felhasználó a háztartási méretű kiserőmű létesítésére, illetve üzemeltetésére vonatkozó igénybejelentésében köteles nyilatkozni arról, hogy kíván-e villamos energiát betáplálni a közcélú hálózatba, vagy kizárólag saját villamos energia fogyasztásának kielégítése érdekében kíván villamos energiát termelni. A hálózati csatlakozás műszaki jellemzőit ezen nyilatkozat figyelembevételével kell kialakítani.</w:t>
      </w:r>
    </w:p>
    <w:p w14:paraId="3891E796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(5) Ha a háztartási méretű kiserőmű a csatlakozási ponton a közcélú hálózatba</w:t>
      </w:r>
    </w:p>
    <w:p w14:paraId="506E34FE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villamos energiát betáplál, akkor a háztartási méretű kiserőmű üzemeltetőjével, mint felhasználóval jogviszonyban álló villamosenergia-kereskedő, illetve egyetemes szolgáltató elszámolási időszakonként a hálózatba összesen betáplált és vételezett villamos energia vonatkozásában a felek megállapodása szerint havi, féléves vagy éves szaldó elszámolást alkalmaz.</w:t>
      </w:r>
    </w:p>
    <w:p w14:paraId="2EF3C366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(6) Amennyiben az elszámolási időszak során vételezett és betáplált villamosenergia mennyiségek szaldója alapján az elosztó hálózatba történő villamos energia betáplálás áll fenn, a betáplált villamosenergia-teljesítményt a háztartási méretű kiserőmű üzemeltetőjével jogviszonyban álló villamosenergia-kereskedő által a részére</w:t>
      </w:r>
    </w:p>
    <w:p w14:paraId="589BF2B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– mint felhasználó részére a villamosenergia-vásárlási szerződés alapján értékesített villamos energia átlagos termék árán kell elszámolni.</w:t>
      </w:r>
    </w:p>
    <w:p w14:paraId="71BAA447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(7) A fogyasztásmérő berendezés költségeinek viselésére 3 x 16 A teljesítmény határig a felhasználókra, a felett az erőművekre vonatkozó szabályok alkalmazandók.</w:t>
      </w:r>
    </w:p>
    <w:p w14:paraId="203D1D2C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Vhr. 5. § (8) A háztartási kiserőművek csatlakoztatásával és üzemeltetésével kapcsolatos további szabályokat az ellátási szabályzatok és a hálózati engedélyesek üzletszabályzatai, a villamos energia értékesítés elszámolásával kapcsolatos további szabályokat a kereskedők üzletszabályzatai tartalmazzák.</w:t>
      </w:r>
    </w:p>
    <w:p w14:paraId="6394F1AE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A Vet. IX. Fejezet a következő alcímmel egészül ki: 66/B. § „Az energiaközösség (1) Az energiaközösség szövetkezet formában működő jogalany, amelynek elsődleges célja, hogy a tagjai számára, vagy az energiaközösség létesítő okiratában megjelölt működési területen környezeti, gazdasági és szociális közösségi előnyöket biztosít azáltal, hogy villamosenergia termelés, tárolás, fogyasztás, elosztói rugalmassági szolgáltatás nyújtása, villamosenergia megosztás, aggregálás, a közúti közlekedésről szóló törvény szerinti </w:t>
      </w:r>
      <w:proofErr w:type="spellStart"/>
      <w:r w:rsidRPr="00593275">
        <w:rPr>
          <w:rFonts w:ascii="Calibri" w:hAnsi="Calibri" w:cs="Calibri"/>
        </w:rPr>
        <w:t>elektromobilitás</w:t>
      </w:r>
      <w:proofErr w:type="spellEnd"/>
      <w:r w:rsidRPr="00593275">
        <w:rPr>
          <w:rFonts w:ascii="Calibri" w:hAnsi="Calibri" w:cs="Calibri"/>
        </w:rPr>
        <w:t xml:space="preserve"> szolgáltatás nyújtása és elektromos töltőberendezés üzemeltetése tevékenységek közül legalább az egyiket végzi.</w:t>
      </w:r>
    </w:p>
    <w:p w14:paraId="6408921A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A villamos energiáról szóló 2007. évi LXXXVI. törvény (VET) előírásai alapján a Magyar Energetikai és Közmű-szabályozási Hivatal az energiaközösségekről és aggregátorokról nyilvántartást vezet. (A VET 66/B. és 66/F. §-</w:t>
      </w:r>
      <w:proofErr w:type="spellStart"/>
      <w:r w:rsidRPr="00593275">
        <w:rPr>
          <w:rFonts w:ascii="Calibri" w:hAnsi="Calibri" w:cs="Calibri"/>
        </w:rPr>
        <w:t>ához</w:t>
      </w:r>
      <w:proofErr w:type="spellEnd"/>
      <w:r w:rsidRPr="00593275">
        <w:rPr>
          <w:rFonts w:ascii="Calibri" w:hAnsi="Calibri" w:cs="Calibri"/>
        </w:rPr>
        <w:t xml:space="preserve">) </w:t>
      </w:r>
      <w:proofErr w:type="spellStart"/>
      <w:r w:rsidRPr="00593275">
        <w:rPr>
          <w:rFonts w:ascii="Calibri" w:hAnsi="Calibri" w:cs="Calibri"/>
        </w:rPr>
        <w:t>Vhr</w:t>
      </w:r>
      <w:proofErr w:type="spellEnd"/>
      <w:r w:rsidRPr="00593275">
        <w:rPr>
          <w:rFonts w:ascii="Calibri" w:hAnsi="Calibri" w:cs="Calibri"/>
        </w:rPr>
        <w:t xml:space="preserve"> 39/B. §</w:t>
      </w:r>
    </w:p>
    <w:p w14:paraId="37D9CCE2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- 12/2020. (XII. 14.) MEKH rendelet - a villamos energia rendszerhasználati díjak, csatlakozási díjak és külön díjak meghatározásának a 2021. április 1. napjával induló árszabályozási ciklusra vonatkozó keretszabályairól</w:t>
      </w:r>
    </w:p>
    <w:p w14:paraId="3995C0FC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VET módosítás 2020. évi CLXXVI. törvény 1. § (5). Hatályos: 2021. I. 1-től. MK 20-285</w:t>
      </w:r>
    </w:p>
    <w:p w14:paraId="411956F1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DSO Elosztói szabályzat Az elosztó hálózathoz való hozzáférés együttműködési szabályai MELLÉKLETEK 20. számú módosítás</w:t>
      </w:r>
    </w:p>
    <w:p w14:paraId="04293BC3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lastRenderedPageBreak/>
        <w:t>- Időjárásfüggő termelői egységek MAVIR Üzemi Szabályzat 5.1.9 (H) b) (</w:t>
      </w:r>
      <w:proofErr w:type="spellStart"/>
      <w:r w:rsidRPr="00593275">
        <w:rPr>
          <w:rFonts w:ascii="Calibri" w:hAnsi="Calibri" w:cs="Calibri"/>
        </w:rPr>
        <w:t>bf</w:t>
      </w:r>
      <w:proofErr w:type="spellEnd"/>
      <w:r w:rsidRPr="00593275">
        <w:rPr>
          <w:rFonts w:ascii="Calibri" w:hAnsi="Calibri" w:cs="Calibri"/>
        </w:rPr>
        <w:t>) részében (68. oldal) találhatók.</w:t>
      </w:r>
    </w:p>
    <w:p w14:paraId="3CE66402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A Kormány 787/2021. (XII. 27.) Korm. rendelete egyes energetikai tárgyú jogszabályok módosításáról</w:t>
      </w:r>
    </w:p>
    <w:p w14:paraId="6D977518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Vészhelyzeti szabályozás: Jelenleg nincs szabad csatlakozási kapacitás új időjárásfüggő termelői kapacitásra (üzembiztonsági korlátozás van életben). Az átmeneti helyzetet a 2022. július 15-én a MAVIR Üzemi Szabályzatának új (28. számú) módosításával oldották fel a korlátozás marad, azonban bizonyos feltételeknek megfelelő naperőműveket mégis lehet építeni.</w:t>
      </w:r>
    </w:p>
    <w:p w14:paraId="667407C9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 xml:space="preserve">- </w:t>
      </w:r>
      <w:proofErr w:type="spellStart"/>
      <w:r w:rsidRPr="00593275">
        <w:rPr>
          <w:rFonts w:ascii="Calibri" w:hAnsi="Calibri" w:cs="Calibri"/>
        </w:rPr>
        <w:t>Mavir</w:t>
      </w:r>
      <w:proofErr w:type="spellEnd"/>
      <w:r w:rsidRPr="00593275">
        <w:rPr>
          <w:rFonts w:ascii="Calibri" w:hAnsi="Calibri" w:cs="Calibri"/>
        </w:rPr>
        <w:t xml:space="preserve"> ÜSZ 2022. október 21-én hatályba lépő 29. számú módosítás.</w:t>
      </w:r>
    </w:p>
    <w:p w14:paraId="0C5BA3C8" w14:textId="77777777" w:rsidR="00593275" w:rsidRPr="00593275" w:rsidRDefault="00593275" w:rsidP="00593275">
      <w:pPr>
        <w:spacing w:after="60" w:line="264" w:lineRule="auto"/>
        <w:jc w:val="both"/>
        <w:rPr>
          <w:rFonts w:ascii="Calibri" w:hAnsi="Calibri" w:cs="Calibri"/>
        </w:rPr>
      </w:pPr>
      <w:r w:rsidRPr="00593275">
        <w:rPr>
          <w:rFonts w:ascii="Calibri" w:hAnsi="Calibri" w:cs="Calibri"/>
        </w:rPr>
        <w:t>- 413/2022 kormányrendelet a veszélyhelyzet idején a háztartási méretű kiserőművek közcélú hálózatba történő feltáplálásának kérdéseiről</w:t>
      </w:r>
    </w:p>
    <w:p w14:paraId="6DC4B4E5" w14:textId="77777777" w:rsidR="0001757C" w:rsidRPr="00593275" w:rsidRDefault="0001757C">
      <w:pPr>
        <w:rPr>
          <w:rFonts w:ascii="Calibri" w:hAnsi="Calibri" w:cs="Calibri"/>
        </w:rPr>
      </w:pPr>
    </w:p>
    <w:sectPr w:rsidR="0001757C" w:rsidRPr="00593275" w:rsidSect="00593275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16F18"/>
    <w:multiLevelType w:val="hybridMultilevel"/>
    <w:tmpl w:val="598A75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5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275"/>
    <w:rsid w:val="0001757C"/>
    <w:rsid w:val="00101674"/>
    <w:rsid w:val="00261BE8"/>
    <w:rsid w:val="003730B3"/>
    <w:rsid w:val="00593275"/>
    <w:rsid w:val="0095088D"/>
    <w:rsid w:val="00CC3CC6"/>
    <w:rsid w:val="00FC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699E"/>
  <w15:chartTrackingRefBased/>
  <w15:docId w15:val="{3B30F736-76A3-4E01-962B-924B5CB1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93275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932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u-HU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932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u-HU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9327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u-HU"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9327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hu-HU"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9327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hu-HU"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9327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hu-HU"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9327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hu-HU"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9327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hu-HU"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9327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hu-HU" w:eastAsia="en-US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32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932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932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9327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9327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9327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9327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9327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9327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93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u-HU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93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9327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u-HU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93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9327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hu-HU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9327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9327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hu-HU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93275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93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hu-HU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9327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932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bbab11-9e29-461f-91db-89b3c4163820">
      <Terms xmlns="http://schemas.microsoft.com/office/infopath/2007/PartnerControls"/>
    </lcf76f155ced4ddcb4097134ff3c332f>
    <TaxCatchAll xmlns="8eaaf960-14ba-4981-9ed7-01fdac0191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0BA08E26999447A00516AA47E23670" ma:contentTypeVersion="13" ma:contentTypeDescription="Create a new document." ma:contentTypeScope="" ma:versionID="d73c9ace1c8e6ecae52250aa15e3422e">
  <xsd:schema xmlns:xsd="http://www.w3.org/2001/XMLSchema" xmlns:xs="http://www.w3.org/2001/XMLSchema" xmlns:p="http://schemas.microsoft.com/office/2006/metadata/properties" xmlns:ns2="bfbbab11-9e29-461f-91db-89b3c4163820" xmlns:ns3="8eaaf960-14ba-4981-9ed7-01fdac019170" targetNamespace="http://schemas.microsoft.com/office/2006/metadata/properties" ma:root="true" ma:fieldsID="56a0f083fc559c31de48674aac47bd7e" ns2:_="" ns3:_="">
    <xsd:import namespace="bfbbab11-9e29-461f-91db-89b3c4163820"/>
    <xsd:import namespace="8eaaf960-14ba-4981-9ed7-01fdac019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bab11-9e29-461f-91db-89b3c416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9083140-450c-4699-ba43-fe27f5e384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af960-14ba-4981-9ed7-01fdac0191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528c79-d3f8-496b-8258-ff93243e0f4a}" ma:internalName="TaxCatchAll" ma:showField="CatchAllData" ma:web="8eaaf960-14ba-4981-9ed7-01fdac0191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DA028-F57D-466D-BEBF-534C834C1577}">
  <ds:schemaRefs>
    <ds:schemaRef ds:uri="http://schemas.microsoft.com/office/2006/metadata/properties"/>
    <ds:schemaRef ds:uri="http://schemas.microsoft.com/office/infopath/2007/PartnerControls"/>
    <ds:schemaRef ds:uri="bfbbab11-9e29-461f-91db-89b3c4163820"/>
    <ds:schemaRef ds:uri="8eaaf960-14ba-4981-9ed7-01fdac019170"/>
  </ds:schemaRefs>
</ds:datastoreItem>
</file>

<file path=customXml/itemProps2.xml><?xml version="1.0" encoding="utf-8"?>
<ds:datastoreItem xmlns:ds="http://schemas.openxmlformats.org/officeDocument/2006/customXml" ds:itemID="{02B62A2D-354A-442A-A6E2-C46F3871C6ED}"/>
</file>

<file path=customXml/itemProps3.xml><?xml version="1.0" encoding="utf-8"?>
<ds:datastoreItem xmlns:ds="http://schemas.openxmlformats.org/officeDocument/2006/customXml" ds:itemID="{1891D4D3-77C2-41B5-A414-B6EDF1205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900</Words>
  <Characters>6212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Katalin</dc:creator>
  <cp:keywords/>
  <dc:description/>
  <cp:lastModifiedBy>dr. Tóth Katalin</cp:lastModifiedBy>
  <cp:revision>3</cp:revision>
  <dcterms:created xsi:type="dcterms:W3CDTF">2025-07-07T09:26:00Z</dcterms:created>
  <dcterms:modified xsi:type="dcterms:W3CDTF">2025-07-08T14:40:00Z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0x010100B40BA08E26999447A00516AA47E23670</vt:lpwstr>
  </property>
  <property fmtid="{D5CDD505-2E9C-101B-9397-08002B2CF9AE}" pid="3" name="MediaServiceImageTags">
    <vt:lpwstr/>
  </property>
</Properties>
</file>